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7" w:rsidRPr="008A6FAD" w:rsidRDefault="009A1EA7" w:rsidP="009A1EA7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8A6FAD">
        <w:rPr>
          <w:rFonts w:eastAsia="Times New Roman" w:cs="Times New Roman"/>
          <w:b/>
          <w:bCs/>
          <w:sz w:val="22"/>
          <w:lang w:eastAsia="pl-PL"/>
        </w:rPr>
        <w:t xml:space="preserve">FORMULARZ PODZIAŁU CZYNNOŚCI </w:t>
      </w:r>
    </w:p>
    <w:p w:rsidR="009A1EA7" w:rsidRPr="008A6FAD" w:rsidRDefault="009A1EA7" w:rsidP="009A1EA7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610201" w:rsidRPr="007D3340" w:rsidRDefault="00610201" w:rsidP="00610201">
      <w:pPr>
        <w:jc w:val="both"/>
        <w:rPr>
          <w:rFonts w:eastAsia="Times New Roman"/>
          <w:sz w:val="18"/>
          <w:szCs w:val="18"/>
          <w:lang w:eastAsia="pl-PL"/>
        </w:rPr>
      </w:pPr>
      <w:r w:rsidRPr="007E0EEF">
        <w:rPr>
          <w:rFonts w:eastAsia="Times New Roman"/>
          <w:sz w:val="18"/>
          <w:szCs w:val="18"/>
          <w:lang w:eastAsia="pl-PL"/>
        </w:rPr>
        <w:t xml:space="preserve">Na podstawie art. 22a ustawy z dnia 27 lipca 2001 roku - Prawo o ustroju sądów powszechnych (Dz. U. z 2020 r. poz. 2072, </w:t>
      </w:r>
      <w:proofErr w:type="spellStart"/>
      <w:r w:rsidRPr="007E0EEF">
        <w:rPr>
          <w:rFonts w:eastAsia="Times New Roman"/>
          <w:sz w:val="18"/>
          <w:szCs w:val="18"/>
          <w:lang w:eastAsia="pl-PL"/>
        </w:rPr>
        <w:t>t.j</w:t>
      </w:r>
      <w:proofErr w:type="spellEnd"/>
      <w:r w:rsidRPr="007E0EEF">
        <w:rPr>
          <w:rFonts w:eastAsia="Times New Roman"/>
          <w:sz w:val="18"/>
          <w:szCs w:val="18"/>
          <w:lang w:eastAsia="pl-PL"/>
        </w:rPr>
        <w:t>.) po zasięgnięciu opinii Kolegium Sądu Okręgowego w Tarnobrzegu (wyciąg z protokołu posiedzenia stanowi załącznik do niniejszego dokumentu) ustalam następujący indywidualny podział czynnoś</w:t>
      </w:r>
      <w:r>
        <w:rPr>
          <w:rFonts w:eastAsia="Times New Roman"/>
          <w:sz w:val="18"/>
          <w:szCs w:val="18"/>
          <w:lang w:eastAsia="pl-PL"/>
        </w:rPr>
        <w:t>ci od dnia 1 stycznia 2021 roku</w:t>
      </w:r>
    </w:p>
    <w:p w:rsidR="00DD05A4" w:rsidRPr="008A6FAD" w:rsidRDefault="00DD05A4" w:rsidP="009A1EA7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19"/>
      </w:tblGrid>
      <w:tr w:rsidR="00DD05A4" w:rsidRPr="008A6FAD" w:rsidTr="00994FAB">
        <w:trPr>
          <w:trHeight w:val="985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1"/>
            </w:tblGrid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E6A31" w:rsidRPr="008A6FAD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32F8B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MICHAŁ</w:t>
                  </w:r>
                </w:p>
              </w:tc>
            </w:tr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276954" w:rsidRPr="008A6FAD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32F8B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DUDZIC</w:t>
                  </w:r>
                </w:p>
              </w:tc>
            </w:tr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8A6FAD" w:rsidRDefault="00DD05A4" w:rsidP="005B10CD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5B10C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Prezes</w:t>
                  </w:r>
                  <w:r w:rsidR="00204FE4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7B194E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Sądu Rejonowego </w:t>
                  </w:r>
                  <w:r w:rsidR="00204FE4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</w:tc>
            </w:tr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Pr="008A6FAD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78315A" w:rsidRPr="008A6FAD" w:rsidRDefault="00204FE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832F8B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Wydział </w:t>
                  </w:r>
                  <w:r w:rsidR="00832F8B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Pracy i Ubezpieczeń Społecznych</w:t>
                  </w:r>
                  <w:r w:rsidR="00331FFF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, </w:t>
                  </w:r>
                </w:p>
                <w:p w:rsidR="00F83C8A" w:rsidRPr="008A6FAD" w:rsidRDefault="0078315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V Wydział </w:t>
                  </w:r>
                  <w:r w:rsidR="00832F8B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Gospodarczy</w:t>
                  </w:r>
                </w:p>
              </w:tc>
            </w:tr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A60C83" w:rsidRPr="008A6FAD" w:rsidRDefault="00DD05A4" w:rsidP="007E0107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E0107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Zastępca Przewodniczącego V Wydziału Gospodarczego</w:t>
                  </w:r>
                </w:p>
              </w:tc>
            </w:tr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8A6FAD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D40DE6" w:rsidRPr="008A6FAD" w:rsidRDefault="00C26BC3" w:rsidP="00D40DE6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u w:val="single"/>
                      <w:lang w:eastAsia="pl-PL"/>
                    </w:rPr>
                  </w:pPr>
                  <w:r w:rsidRPr="008A6FAD">
                    <w:rPr>
                      <w:rFonts w:cs="Times New Roman"/>
                      <w:b/>
                      <w:sz w:val="22"/>
                      <w:u w:val="single"/>
                    </w:rPr>
                    <w:t xml:space="preserve">1. </w:t>
                  </w:r>
                  <w:r w:rsidR="00D40DE6" w:rsidRPr="008A6FAD">
                    <w:rPr>
                      <w:rFonts w:eastAsia="Times New Roman" w:cs="Times New Roman"/>
                      <w:b/>
                      <w:sz w:val="22"/>
                      <w:u w:val="single"/>
                      <w:lang w:eastAsia="pl-PL"/>
                    </w:rPr>
                    <w:t>IV Wydział Pracy i Ubezpieczeń Społecznych:</w:t>
                  </w:r>
                </w:p>
                <w:p w:rsidR="00D40DE6" w:rsidRPr="008A6FAD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- wskaźnik procentowy udziału w przydziale wpływających do wydziału lub pionu spraw – </w:t>
                  </w:r>
                  <w:r w:rsidR="00B94169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</w:t>
                  </w: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</w:t>
                  </w:r>
                </w:p>
                <w:p w:rsidR="00D40DE6" w:rsidRPr="008A6FAD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„P” – </w:t>
                  </w:r>
                  <w:r w:rsidR="00F05164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</w:t>
                  </w: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0 % wpływu,</w:t>
                  </w:r>
                </w:p>
                <w:p w:rsidR="00D40DE6" w:rsidRPr="008A6FAD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„U” – </w:t>
                  </w:r>
                  <w:r w:rsidR="00F05164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</w:t>
                  </w: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0 % wpływu,</w:t>
                  </w:r>
                </w:p>
                <w:p w:rsidR="00D40DE6" w:rsidRPr="008A6FAD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Sprawy „Np” – </w:t>
                  </w:r>
                  <w:r w:rsidR="00F05164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</w:t>
                  </w: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0 % wpływu,</w:t>
                  </w:r>
                </w:p>
                <w:p w:rsidR="00D40DE6" w:rsidRPr="008A6FAD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„Po-</w:t>
                  </w:r>
                  <w:proofErr w:type="spellStart"/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Uo</w:t>
                  </w:r>
                  <w:proofErr w:type="spellEnd"/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 w:rsidR="00F05164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</w:t>
                  </w: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0 % wpływu,</w:t>
                  </w:r>
                </w:p>
                <w:p w:rsidR="009A1EA7" w:rsidRPr="008A6FAD" w:rsidRDefault="00B45EAF" w:rsidP="009A1EA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- </w:t>
                  </w:r>
                  <w:r w:rsidRP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Gz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, </w:t>
                  </w:r>
                  <w:proofErr w:type="spellStart"/>
                  <w:r w:rsidRP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Pz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i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RCz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9A1EA7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 w:rsidR="00536D7E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2</w:t>
                  </w:r>
                  <w:r w:rsidR="009A1EA7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% </w:t>
                  </w:r>
                  <w:r w:rsidR="008A6FAD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wpływu z V Wydziału Gospodarczego, IV Wydziału Pracy i Ubezpieczeń Społecznych i III Wydziału Rodzinnego i Nieletnich</w:t>
                  </w:r>
                </w:p>
                <w:p w:rsidR="009A1EA7" w:rsidRPr="008A6FAD" w:rsidRDefault="009A1EA7" w:rsidP="009A1EA7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Czynności w postępowaniu </w:t>
                  </w:r>
                  <w:proofErr w:type="spellStart"/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międzyinstancyjnym</w:t>
                  </w:r>
                  <w:proofErr w:type="spellEnd"/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pionowym i poziomym we własnym referacie</w:t>
                  </w:r>
                </w:p>
                <w:p w:rsidR="00C26BC3" w:rsidRPr="008A6FAD" w:rsidRDefault="00D40DE6" w:rsidP="00C26BC3">
                  <w:pPr>
                    <w:spacing w:after="0"/>
                    <w:rPr>
                      <w:rFonts w:cs="Times New Roman"/>
                      <w:b/>
                      <w:sz w:val="22"/>
                      <w:u w:val="single"/>
                    </w:rPr>
                  </w:pPr>
                  <w:r w:rsidRPr="008A6FAD">
                    <w:rPr>
                      <w:rFonts w:eastAsia="Times New Roman" w:cs="Times New Roman"/>
                      <w:b/>
                      <w:sz w:val="22"/>
                      <w:u w:val="single"/>
                      <w:lang w:eastAsia="pl-PL"/>
                    </w:rPr>
                    <w:t xml:space="preserve">2. </w:t>
                  </w:r>
                  <w:r w:rsidR="00C26BC3" w:rsidRPr="008A6FAD">
                    <w:rPr>
                      <w:rFonts w:eastAsia="Times New Roman" w:cs="Times New Roman"/>
                      <w:b/>
                      <w:sz w:val="22"/>
                      <w:u w:val="single"/>
                      <w:lang w:eastAsia="pl-PL"/>
                    </w:rPr>
                    <w:t>V</w:t>
                  </w:r>
                  <w:r w:rsidR="00C26BC3" w:rsidRPr="008A6FAD">
                    <w:rPr>
                      <w:rFonts w:eastAsia="Times New Roman" w:cs="Times New Roman"/>
                      <w:sz w:val="22"/>
                      <w:u w:val="single"/>
                      <w:lang w:eastAsia="pl-PL"/>
                    </w:rPr>
                    <w:t xml:space="preserve"> </w:t>
                  </w:r>
                  <w:r w:rsidR="00C26BC3" w:rsidRPr="008A6FAD">
                    <w:rPr>
                      <w:rFonts w:eastAsia="Times New Roman" w:cs="Times New Roman"/>
                      <w:b/>
                      <w:sz w:val="22"/>
                      <w:u w:val="single"/>
                      <w:lang w:eastAsia="pl-PL"/>
                    </w:rPr>
                    <w:t xml:space="preserve">Wydział </w:t>
                  </w:r>
                  <w:r w:rsidR="00845699" w:rsidRPr="008A6FAD">
                    <w:rPr>
                      <w:rFonts w:eastAsia="Times New Roman" w:cs="Times New Roman"/>
                      <w:b/>
                      <w:sz w:val="22"/>
                      <w:u w:val="single"/>
                      <w:lang w:eastAsia="pl-PL"/>
                    </w:rPr>
                    <w:t>Gospodarczy</w:t>
                  </w:r>
                  <w:r w:rsidR="00C26BC3" w:rsidRPr="008A6FAD">
                    <w:rPr>
                      <w:rFonts w:cs="Times New Roman"/>
                      <w:b/>
                      <w:sz w:val="22"/>
                      <w:u w:val="single"/>
                    </w:rPr>
                    <w:t>:</w:t>
                  </w:r>
                </w:p>
                <w:p w:rsidR="00276954" w:rsidRPr="008A6FAD" w:rsidRDefault="00C26BC3" w:rsidP="00276954">
                  <w:pPr>
                    <w:spacing w:after="0"/>
                    <w:rPr>
                      <w:rFonts w:cs="Times New Roman"/>
                      <w:b/>
                      <w:sz w:val="22"/>
                    </w:rPr>
                  </w:pPr>
                  <w:r w:rsidRPr="008A6FAD">
                    <w:rPr>
                      <w:rFonts w:cs="Times New Roman"/>
                      <w:sz w:val="22"/>
                    </w:rPr>
                    <w:t xml:space="preserve">- wskaźnik procentowy udziału w przydziale wpływających do wydziału spraw: </w:t>
                  </w:r>
                  <w:r w:rsidR="009876CE" w:rsidRPr="009876CE">
                    <w:rPr>
                      <w:rFonts w:cs="Times New Roman"/>
                      <w:b/>
                      <w:sz w:val="22"/>
                    </w:rPr>
                    <w:t>6</w:t>
                  </w:r>
                  <w:r w:rsidR="00B94169" w:rsidRPr="009876CE">
                    <w:rPr>
                      <w:rFonts w:cs="Times New Roman"/>
                      <w:b/>
                      <w:sz w:val="22"/>
                    </w:rPr>
                    <w:t>0</w:t>
                  </w:r>
                  <w:r w:rsidR="00276954" w:rsidRPr="009876CE">
                    <w:rPr>
                      <w:rFonts w:cs="Times New Roman"/>
                      <w:b/>
                      <w:sz w:val="22"/>
                    </w:rPr>
                    <w:t>%</w:t>
                  </w:r>
                </w:p>
                <w:p w:rsidR="00276954" w:rsidRPr="008A6FAD" w:rsidRDefault="00276954" w:rsidP="00276954">
                  <w:pPr>
                    <w:spacing w:after="0"/>
                    <w:rPr>
                      <w:rFonts w:cs="Times New Roman"/>
                      <w:b/>
                      <w:sz w:val="22"/>
                      <w:lang w:val="en-US"/>
                    </w:rPr>
                  </w:pPr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 xml:space="preserve">GC – </w:t>
                  </w:r>
                  <w:r w:rsidR="009876CE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25</w:t>
                  </w:r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%</w:t>
                  </w:r>
                </w:p>
                <w:p w:rsidR="00276954" w:rsidRPr="008A6FAD" w:rsidRDefault="00276954" w:rsidP="002769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 New Roman"/>
                      <w:b/>
                      <w:sz w:val="22"/>
                      <w:lang w:val="en-US"/>
                    </w:rPr>
                  </w:pPr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 xml:space="preserve">GNs – </w:t>
                  </w:r>
                  <w:r w:rsidR="009876CE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25</w:t>
                  </w:r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%</w:t>
                  </w:r>
                  <w:bookmarkStart w:id="0" w:name="_GoBack"/>
                  <w:bookmarkEnd w:id="0"/>
                </w:p>
                <w:p w:rsidR="00276954" w:rsidRPr="008A6FAD" w:rsidRDefault="00276954" w:rsidP="002769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 New Roman"/>
                      <w:b/>
                      <w:sz w:val="22"/>
                      <w:lang w:val="en-US"/>
                    </w:rPr>
                  </w:pPr>
                  <w:proofErr w:type="spellStart"/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GCo</w:t>
                  </w:r>
                  <w:proofErr w:type="spellEnd"/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 xml:space="preserve"> – </w:t>
                  </w:r>
                  <w:r w:rsidR="009876CE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25</w:t>
                  </w:r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%</w:t>
                  </w:r>
                </w:p>
                <w:p w:rsidR="00276954" w:rsidRPr="008A6FAD" w:rsidRDefault="00276954" w:rsidP="002769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 New Roman"/>
                      <w:b/>
                      <w:sz w:val="22"/>
                      <w:lang w:val="en-US"/>
                    </w:rPr>
                  </w:pPr>
                  <w:proofErr w:type="spellStart"/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GNc</w:t>
                  </w:r>
                  <w:proofErr w:type="spellEnd"/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 xml:space="preserve"> – </w:t>
                  </w:r>
                  <w:r w:rsidR="009876CE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25</w:t>
                  </w:r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%</w:t>
                  </w:r>
                  <w:r w:rsidR="00B94169"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 xml:space="preserve"> </w:t>
                  </w:r>
                </w:p>
                <w:p w:rsidR="00276954" w:rsidRPr="008A6FAD" w:rsidRDefault="00276954" w:rsidP="002769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 New Roman"/>
                      <w:b/>
                      <w:sz w:val="22"/>
                      <w:lang w:val="en-US"/>
                    </w:rPr>
                  </w:pPr>
                  <w:proofErr w:type="spellStart"/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GCps</w:t>
                  </w:r>
                  <w:proofErr w:type="spellEnd"/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 xml:space="preserve"> – </w:t>
                  </w:r>
                  <w:r w:rsidR="009876CE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25</w:t>
                  </w:r>
                  <w:r w:rsidRPr="008A6FAD">
                    <w:rPr>
                      <w:rFonts w:eastAsia="TimesNewRoman" w:cs="Times New Roman"/>
                      <w:b/>
                      <w:sz w:val="22"/>
                      <w:lang w:val="en-US"/>
                    </w:rPr>
                    <w:t>%</w:t>
                  </w:r>
                </w:p>
                <w:p w:rsidR="00C26BC3" w:rsidRPr="00066F38" w:rsidRDefault="00845699" w:rsidP="00994FAB">
                  <w:pPr>
                    <w:spacing w:after="0" w:line="240" w:lineRule="auto"/>
                    <w:rPr>
                      <w:rFonts w:cs="Times New Roman"/>
                      <w:sz w:val="22"/>
                    </w:rPr>
                  </w:pPr>
                  <w:r w:rsidRPr="00066F38">
                    <w:rPr>
                      <w:rFonts w:cs="Times New Roman"/>
                      <w:sz w:val="22"/>
                    </w:rPr>
                    <w:t>Prowadzenie niezakończonych spraw upadłościowych i naprawczych</w:t>
                  </w:r>
                  <w:r w:rsidR="00994FAB" w:rsidRPr="00066F38">
                    <w:rPr>
                      <w:rFonts w:cs="Times New Roman"/>
                      <w:sz w:val="22"/>
                    </w:rPr>
                    <w:t xml:space="preserve"> oraz postępowań gospodarczych</w:t>
                  </w:r>
                  <w:r w:rsidRPr="00066F38">
                    <w:rPr>
                      <w:rFonts w:cs="Times New Roman"/>
                      <w:sz w:val="22"/>
                    </w:rPr>
                    <w:t>.</w:t>
                  </w:r>
                </w:p>
                <w:p w:rsidR="00994FAB" w:rsidRPr="00066F38" w:rsidRDefault="00994FAB" w:rsidP="00994FAB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01"/>
                    <w:rPr>
                      <w:rFonts w:eastAsia="TimesNewRoman" w:cs="Times New Roman"/>
                      <w:sz w:val="22"/>
                    </w:rPr>
                  </w:pPr>
                  <w:r w:rsidRPr="00066F38">
                    <w:rPr>
                      <w:rFonts w:eastAsia="TimesNewRoman" w:cs="Times New Roman"/>
                      <w:sz w:val="22"/>
                    </w:rPr>
                    <w:t xml:space="preserve">rozpoznawanie spraw przydzielonych w </w:t>
                  </w:r>
                  <w:proofErr w:type="spellStart"/>
                  <w:r w:rsidRPr="00066F38">
                    <w:rPr>
                      <w:rFonts w:eastAsia="TimesNewRoman" w:cs="Times New Roman"/>
                      <w:sz w:val="22"/>
                    </w:rPr>
                    <w:t>GUp</w:t>
                  </w:r>
                  <w:proofErr w:type="spellEnd"/>
                  <w:r w:rsidRPr="00066F38">
                    <w:rPr>
                      <w:rFonts w:eastAsia="TimesNewRoman" w:cs="Times New Roman"/>
                      <w:sz w:val="22"/>
                    </w:rPr>
                    <w:t>,</w:t>
                  </w:r>
                </w:p>
                <w:p w:rsidR="00994FAB" w:rsidRPr="00066F38" w:rsidRDefault="00994FAB" w:rsidP="00994FAB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01"/>
                    <w:rPr>
                      <w:rFonts w:eastAsia="TimesNewRoman" w:cs="Times New Roman"/>
                      <w:sz w:val="22"/>
                    </w:rPr>
                  </w:pPr>
                  <w:r w:rsidRPr="00066F38">
                    <w:rPr>
                      <w:rFonts w:eastAsia="TimesNewRoman" w:cs="Times New Roman"/>
                      <w:sz w:val="22"/>
                    </w:rPr>
                    <w:t xml:space="preserve">rozpoznawanie spraw z repertorium </w:t>
                  </w:r>
                  <w:proofErr w:type="spellStart"/>
                  <w:r w:rsidRPr="00066F38">
                    <w:rPr>
                      <w:rFonts w:eastAsia="TimesNewRoman" w:cs="Times New Roman"/>
                      <w:sz w:val="22"/>
                    </w:rPr>
                    <w:t>GUk</w:t>
                  </w:r>
                  <w:proofErr w:type="spellEnd"/>
                  <w:r w:rsidRPr="00066F38">
                    <w:rPr>
                      <w:rFonts w:eastAsia="TimesNewRoman" w:cs="Times New Roman"/>
                      <w:sz w:val="22"/>
                    </w:rPr>
                    <w:t xml:space="preserve"> – w ilości 100% wpływu środków odwoławczych w postępowaniach upadłościowych gdzie jest sędzią-komisarzem,</w:t>
                  </w:r>
                </w:p>
                <w:p w:rsidR="00994FAB" w:rsidRPr="00066F38" w:rsidRDefault="00994FAB" w:rsidP="00994FAB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01"/>
                    <w:rPr>
                      <w:rFonts w:eastAsia="TimesNewRoman" w:cs="Times New Roman"/>
                      <w:sz w:val="22"/>
                    </w:rPr>
                  </w:pPr>
                  <w:r w:rsidRPr="00066F38">
                    <w:rPr>
                      <w:rFonts w:eastAsia="TimesNewRoman" w:cs="Times New Roman"/>
                      <w:sz w:val="22"/>
                    </w:rPr>
                    <w:t xml:space="preserve">rozpoznawanie spraw </w:t>
                  </w:r>
                  <w:proofErr w:type="spellStart"/>
                  <w:r w:rsidRPr="00066F38">
                    <w:rPr>
                      <w:rFonts w:eastAsia="TimesNewRoman" w:cs="Times New Roman"/>
                      <w:sz w:val="22"/>
                    </w:rPr>
                    <w:t>GUz</w:t>
                  </w:r>
                  <w:proofErr w:type="spellEnd"/>
                  <w:r w:rsidRPr="00066F38">
                    <w:rPr>
                      <w:rFonts w:eastAsia="TimesNewRoman" w:cs="Times New Roman"/>
                      <w:sz w:val="22"/>
                    </w:rPr>
                    <w:t xml:space="preserve"> i </w:t>
                  </w:r>
                  <w:proofErr w:type="spellStart"/>
                  <w:r w:rsidRPr="00066F38">
                    <w:rPr>
                      <w:rFonts w:eastAsia="TimesNewRoman" w:cs="Times New Roman"/>
                      <w:sz w:val="22"/>
                    </w:rPr>
                    <w:t>GUo</w:t>
                  </w:r>
                  <w:proofErr w:type="spellEnd"/>
                  <w:r w:rsidRPr="00066F38">
                    <w:rPr>
                      <w:rFonts w:eastAsia="TimesNewRoman" w:cs="Times New Roman"/>
                      <w:sz w:val="22"/>
                    </w:rPr>
                    <w:t xml:space="preserve"> o wyłączenie z masy upadłości w postępowaniach upadłościowych prowadzonych przez SSR Andrzeja Ciacha,</w:t>
                  </w:r>
                </w:p>
                <w:p w:rsidR="009A1EA7" w:rsidRPr="008A6FAD" w:rsidRDefault="00B94169" w:rsidP="00B94169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 w:rsid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B45EAF" w:rsidRP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proofErr w:type="spellStart"/>
                  <w:r w:rsid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Gz</w:t>
                  </w:r>
                  <w:proofErr w:type="spellEnd"/>
                  <w:r w:rsid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, </w:t>
                  </w:r>
                  <w:proofErr w:type="spellStart"/>
                  <w:r w:rsidR="00B45EAF" w:rsidRP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Pz</w:t>
                  </w:r>
                  <w:proofErr w:type="spellEnd"/>
                  <w:r w:rsid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i </w:t>
                  </w:r>
                  <w:proofErr w:type="spellStart"/>
                  <w:r w:rsid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RCz</w:t>
                  </w:r>
                  <w:proofErr w:type="spellEnd"/>
                  <w:r w:rsidR="00B45EA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B45EAF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A1EA7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–</w:t>
                  </w:r>
                  <w:r w:rsidR="00536D7E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16</w:t>
                  </w:r>
                  <w:r w:rsidR="009A1EA7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% </w:t>
                  </w:r>
                  <w:r w:rsidR="008A6FAD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wpływu z V Wydziału Gospodarczego, IV Wydziału Pracy                              i Ubezpieczeń Społecznych i III Wydziału Rodzinnego i Nieletnich</w:t>
                  </w:r>
                </w:p>
                <w:p w:rsidR="009A1EA7" w:rsidRPr="008A6FAD" w:rsidRDefault="009A1EA7" w:rsidP="009A1EA7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01"/>
                    <w:rPr>
                      <w:rFonts w:eastAsia="TimesNewRoman" w:cs="Times New Roman"/>
                      <w:b/>
                      <w:sz w:val="22"/>
                    </w:rPr>
                  </w:pPr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Czynności w postępowaniu </w:t>
                  </w:r>
                  <w:proofErr w:type="spellStart"/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>międzyinstancyjnym</w:t>
                  </w:r>
                  <w:proofErr w:type="spellEnd"/>
                  <w:r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pionowym</w:t>
                  </w:r>
                  <w:r w:rsidR="008A6FAD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i poziomym we własnym referacie</w:t>
                  </w:r>
                </w:p>
              </w:tc>
            </w:tr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536B45" w:rsidRPr="008A6FAD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8A6FAD" w:rsidRPr="008A6FAD" w:rsidTr="008A6FAD">
              <w:trPr>
                <w:trHeight w:val="50"/>
                <w:tblCellSpacing w:w="15" w:type="dxa"/>
              </w:trPr>
              <w:tc>
                <w:tcPr>
                  <w:tcW w:w="4966" w:type="pct"/>
                  <w:vAlign w:val="center"/>
                </w:tcPr>
                <w:p w:rsidR="008A6FAD" w:rsidRPr="008A6FAD" w:rsidRDefault="008A6FAD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B6ED7" w:rsidRPr="008A6FAD" w:rsidRDefault="00DD05A4" w:rsidP="002E0A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066F38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 w:rsidRP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8A6FAD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3646A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2E0A0A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orzeka jednocześnie w dwóch wydziałach</w:t>
                  </w:r>
                  <w:r w:rsidR="00015E58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.</w:t>
                  </w:r>
                </w:p>
              </w:tc>
            </w:tr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974D3D" w:rsidRPr="008A6FAD" w:rsidRDefault="00974D3D" w:rsidP="00974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NewRoman" w:cs="Times New Roman"/>
                      <w:sz w:val="22"/>
                    </w:rPr>
                  </w:pPr>
                  <w:r w:rsidRPr="008A6FAD">
                    <w:rPr>
                      <w:rFonts w:eastAsia="TimesNewRoman" w:cs="Times New Roman"/>
                      <w:sz w:val="22"/>
                    </w:rPr>
                    <w:t xml:space="preserve">Zasady zastępstw: </w:t>
                  </w:r>
                </w:p>
                <w:p w:rsidR="00EC00E3" w:rsidRPr="008A6FAD" w:rsidRDefault="008E7592" w:rsidP="00536D7E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Określa Zarządzenie Prezesa Sądu </w:t>
                  </w:r>
                  <w:r w:rsidR="00536D7E"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Rejonowego </w:t>
                  </w:r>
                  <w:r w:rsidRPr="008A6FA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 w sprawie planu zastępstw i dyżurów sędziów i referendarzy sądowych Sądu Rejonowego w Tarnobrzegu</w:t>
                  </w:r>
                </w:p>
              </w:tc>
            </w:tr>
            <w:tr w:rsidR="00DD05A4" w:rsidRPr="008A6FAD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B6ED7" w:rsidRPr="00066F38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66F38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066F38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6C54D6" w:rsidRPr="00066F38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</w:tr>
          </w:tbl>
          <w:p w:rsidR="00DD05A4" w:rsidRPr="008A6FAD" w:rsidRDefault="00DD05A4" w:rsidP="00410F32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B74310" w:rsidRPr="008A6FAD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8A6FAD">
        <w:rPr>
          <w:rFonts w:eastAsia="Times New Roman" w:cs="Times New Roman"/>
          <w:sz w:val="22"/>
          <w:lang w:eastAsia="pl-PL"/>
        </w:rPr>
        <w:t xml:space="preserve">  </w:t>
      </w:r>
      <w:r w:rsidR="001A38D3" w:rsidRPr="008A6FAD">
        <w:rPr>
          <w:rFonts w:eastAsia="Times New Roman" w:cs="Times New Roman"/>
          <w:sz w:val="22"/>
          <w:lang w:eastAsia="pl-PL"/>
        </w:rPr>
        <w:t xml:space="preserve">  </w:t>
      </w:r>
    </w:p>
    <w:p w:rsidR="00066F38" w:rsidRDefault="00066F38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</w:p>
    <w:p w:rsidR="00B74310" w:rsidRPr="008A6FAD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8A6FAD">
        <w:rPr>
          <w:rFonts w:eastAsia="Times New Roman" w:cs="Times New Roman"/>
          <w:sz w:val="22"/>
          <w:lang w:eastAsia="pl-PL"/>
        </w:rPr>
        <w:t>................................</w:t>
      </w:r>
      <w:r w:rsidRPr="008A6FAD">
        <w:rPr>
          <w:rFonts w:eastAsia="Times New Roman" w:cs="Times New Roman"/>
          <w:sz w:val="22"/>
          <w:lang w:eastAsia="pl-PL"/>
        </w:rPr>
        <w:tab/>
      </w:r>
      <w:r w:rsidRPr="008A6FAD">
        <w:rPr>
          <w:rFonts w:eastAsia="Times New Roman" w:cs="Times New Roman"/>
          <w:sz w:val="22"/>
          <w:lang w:eastAsia="pl-PL"/>
        </w:rPr>
        <w:tab/>
      </w:r>
      <w:r w:rsidRPr="008A6FAD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8A6FAD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8A6FAD">
        <w:rPr>
          <w:rFonts w:eastAsia="Times New Roman" w:cs="Times New Roman"/>
          <w:sz w:val="22"/>
          <w:lang w:eastAsia="pl-PL"/>
        </w:rPr>
        <w:t xml:space="preserve">       </w:t>
      </w:r>
      <w:r w:rsidRPr="008A6FAD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8A6FAD">
        <w:rPr>
          <w:rFonts w:eastAsia="Times New Roman" w:cs="Times New Roman"/>
          <w:sz w:val="22"/>
          <w:lang w:eastAsia="pl-PL"/>
        </w:rPr>
        <w:tab/>
      </w:r>
      <w:r w:rsidRPr="008A6FAD">
        <w:rPr>
          <w:rFonts w:eastAsia="Times New Roman" w:cs="Times New Roman"/>
          <w:sz w:val="22"/>
          <w:lang w:eastAsia="pl-PL"/>
        </w:rPr>
        <w:tab/>
      </w:r>
      <w:r w:rsidRPr="008A6FAD">
        <w:rPr>
          <w:rFonts w:eastAsia="Times New Roman" w:cs="Times New Roman"/>
          <w:sz w:val="22"/>
          <w:lang w:eastAsia="pl-PL"/>
        </w:rPr>
        <w:tab/>
      </w:r>
      <w:r w:rsidRPr="008A6FAD">
        <w:rPr>
          <w:rFonts w:eastAsia="Times New Roman" w:cs="Times New Roman"/>
          <w:sz w:val="22"/>
          <w:lang w:eastAsia="pl-PL"/>
        </w:rPr>
        <w:tab/>
      </w:r>
      <w:r w:rsidRPr="008A6FAD">
        <w:rPr>
          <w:rFonts w:eastAsia="Times New Roman" w:cs="Times New Roman"/>
          <w:sz w:val="22"/>
          <w:lang w:eastAsia="pl-PL"/>
        </w:rPr>
        <w:tab/>
        <w:t xml:space="preserve">        (podpis prezesa sądu</w:t>
      </w:r>
      <w:r w:rsidR="006B26F8" w:rsidRPr="008A6FAD">
        <w:rPr>
          <w:rFonts w:eastAsia="Times New Roman" w:cs="Times New Roman"/>
          <w:sz w:val="22"/>
          <w:lang w:eastAsia="pl-PL"/>
        </w:rPr>
        <w:t>)</w:t>
      </w:r>
    </w:p>
    <w:sectPr w:rsidR="00B74310" w:rsidRPr="008A6FAD" w:rsidSect="00276954">
      <w:pgSz w:w="11903" w:h="16835"/>
      <w:pgMar w:top="426" w:right="1418" w:bottom="568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3751C"/>
    <w:multiLevelType w:val="hybridMultilevel"/>
    <w:tmpl w:val="F85A1658"/>
    <w:lvl w:ilvl="0" w:tplc="B4547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66F3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87524"/>
    <w:rsid w:val="0009303E"/>
    <w:rsid w:val="000941DF"/>
    <w:rsid w:val="00094A23"/>
    <w:rsid w:val="000951A1"/>
    <w:rsid w:val="000A2B67"/>
    <w:rsid w:val="000A3816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4BA0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D760C"/>
    <w:rsid w:val="001E1DD4"/>
    <w:rsid w:val="001E35C2"/>
    <w:rsid w:val="001E44DF"/>
    <w:rsid w:val="001E4C7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3B37"/>
    <w:rsid w:val="00245373"/>
    <w:rsid w:val="00245931"/>
    <w:rsid w:val="00245FC6"/>
    <w:rsid w:val="0024776E"/>
    <w:rsid w:val="0025489B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6954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35E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5530"/>
    <w:rsid w:val="002D65CA"/>
    <w:rsid w:val="002D690B"/>
    <w:rsid w:val="002E0A0A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36D7E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283"/>
    <w:rsid w:val="00575E95"/>
    <w:rsid w:val="0058077C"/>
    <w:rsid w:val="0058203E"/>
    <w:rsid w:val="00582A5A"/>
    <w:rsid w:val="00585431"/>
    <w:rsid w:val="00591BEE"/>
    <w:rsid w:val="00592A9F"/>
    <w:rsid w:val="00593573"/>
    <w:rsid w:val="005B10CD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052B3"/>
    <w:rsid w:val="0061012C"/>
    <w:rsid w:val="00610201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1795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E0107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2F8B"/>
    <w:rsid w:val="00834566"/>
    <w:rsid w:val="00835A14"/>
    <w:rsid w:val="008405DD"/>
    <w:rsid w:val="00842B8F"/>
    <w:rsid w:val="008437FA"/>
    <w:rsid w:val="00843856"/>
    <w:rsid w:val="00845699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A6FAD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E7592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3646A"/>
    <w:rsid w:val="0094148A"/>
    <w:rsid w:val="00942505"/>
    <w:rsid w:val="0094518B"/>
    <w:rsid w:val="00950A01"/>
    <w:rsid w:val="00953D76"/>
    <w:rsid w:val="009559A7"/>
    <w:rsid w:val="00957787"/>
    <w:rsid w:val="00960337"/>
    <w:rsid w:val="00960423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74D3D"/>
    <w:rsid w:val="009876CE"/>
    <w:rsid w:val="00994930"/>
    <w:rsid w:val="00994FAB"/>
    <w:rsid w:val="00995C86"/>
    <w:rsid w:val="0099696B"/>
    <w:rsid w:val="00997EFD"/>
    <w:rsid w:val="009A1B47"/>
    <w:rsid w:val="009A1EA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3C61"/>
    <w:rsid w:val="00AC4643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45EAF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169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2229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4AEF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0DE6"/>
    <w:rsid w:val="00D436B1"/>
    <w:rsid w:val="00D47CD4"/>
    <w:rsid w:val="00D507A5"/>
    <w:rsid w:val="00D52A8A"/>
    <w:rsid w:val="00D54326"/>
    <w:rsid w:val="00D54F43"/>
    <w:rsid w:val="00D6120C"/>
    <w:rsid w:val="00D61B09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6267F"/>
    <w:rsid w:val="00E70781"/>
    <w:rsid w:val="00E70A47"/>
    <w:rsid w:val="00E80E8D"/>
    <w:rsid w:val="00E82346"/>
    <w:rsid w:val="00E839A8"/>
    <w:rsid w:val="00E84A30"/>
    <w:rsid w:val="00E84A58"/>
    <w:rsid w:val="00E8674E"/>
    <w:rsid w:val="00E928BB"/>
    <w:rsid w:val="00E935DB"/>
    <w:rsid w:val="00E95EE1"/>
    <w:rsid w:val="00E97607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596F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05164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6ED7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D381-4144-44C4-9786-06BB1400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LSkocz</dc:creator>
  <cp:lastModifiedBy>Teresa Krociel</cp:lastModifiedBy>
  <cp:revision>5</cp:revision>
  <cp:lastPrinted>2020-12-17T06:51:00Z</cp:lastPrinted>
  <dcterms:created xsi:type="dcterms:W3CDTF">2020-12-11T12:27:00Z</dcterms:created>
  <dcterms:modified xsi:type="dcterms:W3CDTF">2020-12-17T06:52:00Z</dcterms:modified>
</cp:coreProperties>
</file>